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691"/>
        <w:gridCol w:w="6806"/>
      </w:tblGrid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CARGO </w:t>
            </w:r>
          </w:p>
        </w:tc>
      </w:tr>
      <w:tr>
        <w:trPr>
          <w:cantSplit w:val="false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NOMBRE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Auxiliar de Cámaras</w:t>
            </w:r>
          </w:p>
        </w:tc>
      </w:tr>
      <w:tr>
        <w:trPr>
          <w:cantSplit w:val="false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AREA/NEGOCIO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Técnica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RELACIÓN JERÁRQUICAS</w:t>
            </w:r>
          </w:p>
        </w:tc>
      </w:tr>
      <w:tr>
        <w:trPr>
          <w:cantSplit w:val="false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REPORTA A: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Controller de Camaras CCTV</w:t>
            </w:r>
          </w:p>
        </w:tc>
      </w:tr>
      <w:tr>
        <w:trPr>
          <w:cantSplit w:val="false"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SUPERVISA A:</w:t>
            </w:r>
          </w:p>
        </w:tc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No aplica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DEL PUESTO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200"/>
              <w:jc w:val="left"/>
              <w:rPr/>
            </w:pPr>
            <w:r>
              <w:rPr/>
              <w:t>Apoyar en las labores administrativas del área con la mayor actitud.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FUNCIONES GENERALES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Cumplir obligatoriamente y bajo responsabilidad todas las normas, procedimientos y dispositivos generales establecidos por la Empresa en forma diaria, con eficiencia y efectividad necesarias.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Cumplir con los reglamentos otorgados por la empresa, tales como el Reglamento Interno de Trabajo (En adelante RIT), Reglamento Interno de Seguridad y Salud en el Trabajo (En adelante RISST);  todo tipo de disposiciones de trabajo, comunicados y normas de seguridad y salud en el trabajo emitidas por la Empresa; así como también toda directiva otorgada por la misma.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Cumplir con los horarios establecidos, registrando su ingreso y salida del centro de trabajo de acuerdo con los sistemas de control dispuestos por la Empresa.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Permanecer en su zona de trabajo durante el turno asignado.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Informar de manera inmediata a la jefatura, gerencia o personal de dirección del negocio las ocurrencias o incidentes que se hayan suscitado sobre asuntos inherentes a su cargo o labor que realiza, con oportunidad y eficiencia para su evaluación y toma de medidas correctivas y/o preventivas. 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Verificar que su puesto de trabajo cuente con el ambiente y equipamiento necesarios para el desarrollo de sus funciones.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Mantener el orden y limpieza del espacio asignado.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Custodiar y velar los activos asignados al área u espacio de trabajo, (equipos, materiales, entre otros…) haciéndose responsable por la pérdida, hurto, robo y/o deterioro de los mismos que no se encuentre relacionado al uso del mismo; previa investigación que determine la responsabilidad o no.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Ingresar diariamente y participar activamente en la página web Salones network.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activamente en la página de Personas Network y Salones Network, para mantener una comunicación eficiente en las gestiones que se desarrollan en los procesos de la organización.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e Ingresar diariamente a la página web salones network de la empresa para  mantenerse informado sobre el acontecer operacional de los procesos de la empresa concernientes a su área de trabajo y atender los requerimientos que se realicen a sus procesos.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e Ingresar una vez por semana a la página web de Personas network de la empresa para  mantenerse informado sobre las directivas y disposiciones de las jefaturas inmediatas para con el puesto y atender los requerimientos que se realicen por este medio.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Mantener en absoluta reserva y confidencialidad el código de usuario asignado para el uso de personas y salones Network, haciéndose responsable de toda información que se envíe por medio de esta cuenta.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Informar de manera eficiente y oportuna el resultado de su gestión (informes, estadísticas y otro) a su jefatura inmediata o gerencia del negocio y a su vez hacerlo de conocimiento a los principales ejecutivos nombrados por la Gerencia General, para el seguimiento administrativo, en los principales medios de comunicación establecidos por la empresa.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Revisar diariamente el correo electrónico corporativo asignado con el fin de revisar información de importancia y/o competencia para el área y responder los requerimientos en forma oportuna (cuando aplique).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Mantener informado permanente a la jefatura inmediata y/o cuando la Gerencia General lo requiera; sobre la situación en general del giro del negocio, detalles sobre su gestión administrativa, así como las dificultades que impiden ejercer una administración eficiente y/o adecuada.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Proporcionar a la jefatura inmediata o personal de dirección los requerimientos de información, informes, estadísticas y otros inherente a sus actividades que le sea solicitada en forma eficiente y oportuna.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Realizar otras actividades que le sean asignadas por el Jefe inmediato, gerencia o personal de dirección que le permitan cumplir con el objetivo del puesto. </w:t>
            </w:r>
          </w:p>
          <w:p>
            <w:pPr>
              <w:pStyle w:val="ListParagraph"/>
              <w:numPr>
                <w:ilvl w:val="0"/>
                <w:numId w:val="1"/>
              </w:numPr>
              <w:overflowPunct w:val="true"/>
              <w:spacing w:before="120" w:after="20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Ante cualquier actividad que implique gastos, se encuentra sujeto a buscar el beneficio y ahorro  para la empresa.</w:t>
            </w:r>
          </w:p>
          <w:p>
            <w:pPr>
              <w:pStyle w:val="Normal"/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Todas aquellas funciones que disponga la Jefatura inmediata y personal de dirección o aquellas que sin estar expresadas se desprendan como inherentes al cargo.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FUNCIONES ESPECIFICAS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603" w:leader="none"/>
              </w:tabs>
              <w:spacing w:before="120" w:after="200"/>
              <w:ind w:left="602" w:right="110" w:hanging="360"/>
              <w:jc w:val="both"/>
              <w:rPr>
                <w:rFonts w:eastAsia="Calibri" w:cs="Times New Roman" w:ascii="Calibri" w:hAnsi="Calibri"/>
                <w:lang w:val="es-PE"/>
              </w:rPr>
            </w:pPr>
            <w:r>
              <w:rPr>
                <w:rFonts w:eastAsia="Calibri" w:cs="Times New Roman" w:ascii="Calibri" w:hAnsi="Calibri"/>
                <w:lang w:val="es-PE"/>
              </w:rPr>
              <w:tab/>
              <w:t>Solicitar a personal de cámaras ubicación en tiempo real con frecuencia diaria a primera hora de la mañana para comunicar a secretaria de área.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03" w:leader="none"/>
              </w:tabs>
              <w:spacing w:before="120" w:after="200"/>
              <w:ind w:left="602" w:right="110" w:hanging="360"/>
              <w:jc w:val="both"/>
              <w:rPr>
                <w:rFonts w:eastAsia="Calibri" w:cs="Times New Roman" w:ascii="Calibri" w:hAnsi="Calibri"/>
                <w:lang w:val="es-PE"/>
              </w:rPr>
            </w:pPr>
            <w:r>
              <w:rPr>
                <w:rFonts w:eastAsia="Calibri" w:cs="Times New Roman" w:ascii="Calibri" w:hAnsi="Calibri"/>
                <w:lang w:val="es-PE"/>
              </w:rPr>
              <w:t>Administrar la comunicación de los correos del área, tales como requerimiento o coordinaciones. Para lo cual se comunica a inmediato superior para conocimiento e indique las acciones necesarias.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03" w:leader="none"/>
              </w:tabs>
              <w:spacing w:before="120" w:after="200"/>
              <w:ind w:left="602" w:right="110" w:hanging="360"/>
              <w:jc w:val="both"/>
              <w:rPr>
                <w:rFonts w:eastAsia="Calibri" w:cs="Times New Roman" w:ascii="Calibri" w:hAnsi="Calibri"/>
                <w:lang w:val="es-PE"/>
              </w:rPr>
            </w:pPr>
            <w:r>
              <w:rPr>
                <w:rFonts w:eastAsia="Calibri" w:cs="Times New Roman" w:ascii="Calibri" w:hAnsi="Calibri"/>
                <w:lang w:val="es-PE"/>
              </w:rPr>
              <w:t>Mantener actualizado los inventarios de cámaras para que a solicitud del área Legal  envíe informe de cambios.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03" w:leader="none"/>
              </w:tabs>
              <w:spacing w:before="120" w:after="200"/>
              <w:ind w:left="602" w:right="110" w:hanging="360"/>
              <w:jc w:val="both"/>
              <w:rPr>
                <w:rFonts w:eastAsia="Calibri" w:cs="Times New Roman" w:ascii="Calibri" w:hAnsi="Calibri"/>
                <w:lang w:val="es-PE"/>
              </w:rPr>
            </w:pPr>
            <w:r>
              <w:rPr>
                <w:rFonts w:eastAsia="Calibri" w:cs="Times New Roman" w:ascii="Calibri" w:hAnsi="Calibri"/>
                <w:lang w:val="es-PE"/>
              </w:rPr>
              <w:t>Solicitar viáticos para personal y realiza seguimiento para la rendición oportuna.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03" w:leader="none"/>
              </w:tabs>
              <w:spacing w:before="120" w:after="200"/>
              <w:ind w:left="602" w:right="110" w:hanging="360"/>
              <w:jc w:val="both"/>
              <w:rPr>
                <w:rFonts w:eastAsia="Calibri" w:cs="Times New Roman" w:ascii="Calibri" w:hAnsi="Calibri"/>
                <w:lang w:val="es-PE"/>
              </w:rPr>
            </w:pPr>
            <w:bookmarkStart w:id="0" w:name="_GoBack"/>
            <w:bookmarkEnd w:id="0"/>
            <w:r>
              <w:rPr>
                <w:rFonts w:eastAsia="Calibri" w:cs="Times New Roman" w:ascii="Calibri" w:hAnsi="Calibri"/>
                <w:lang w:val="es-PE"/>
              </w:rPr>
              <w:t>Solicitar útiles para el desarrollo de las actividades del personal.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DISPOSICIONES COMPLEMENTARIAS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Calibri" w:cs="Times New Roman"/>
                <w:bCs/>
                <w:sz w:val="23"/>
                <w:szCs w:val="23"/>
              </w:rPr>
            </w:pPr>
            <w:r>
              <w:rPr>
                <w:rFonts w:eastAsia="Calibri" w:cs="Times New Roman"/>
                <w:bCs/>
                <w:sz w:val="23"/>
                <w:szCs w:val="23"/>
              </w:rPr>
              <w:t>No aplica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DISPOSICIONES DE SEGURIDAD Y SALUD EN EL TRABAJO</w:t>
            </w:r>
          </w:p>
        </w:tc>
      </w:tr>
      <w:tr>
        <w:trPr>
          <w:trHeight w:val="3044" w:hRule="atLeast"/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120"/>
              <w:ind w:left="465" w:right="0" w:hanging="360"/>
              <w:jc w:val="both"/>
              <w:rPr>
                <w:rFonts w:cs="Arial"/>
                <w:shd w:fill="FFFF00" w:val="clear"/>
              </w:rPr>
            </w:pPr>
            <w:r>
              <w:rPr>
                <w:rFonts w:cs="Arial"/>
                <w:shd w:fill="FFFF00" w:val="clear"/>
              </w:rPr>
              <w:t xml:space="preserve">Cumplir con las normas de seguridad y salud en el trabajo establecidas por la organización en sus diferentes establecimientos según normas nacionales en materia de seguridad y salud en el trabajo, en aras de promover una cultura de prevención de riesgos. 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ind w:left="459" w:right="0" w:hanging="360"/>
              <w:jc w:val="both"/>
              <w:rPr>
                <w:rFonts w:cs="Arial"/>
              </w:rPr>
            </w:pPr>
            <w:r>
              <w:rPr>
                <w:rFonts w:cs="Arial"/>
              </w:rPr>
              <w:t>Participar activamente en las diferentes actividades de prevención dispuestas por seguridad y salud en el trabajo a fin de cumplir con las normativas vigentes de la organización  y  la del estado, en aras de promover una cultura de prevención de riesgos laborales.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 w:right="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Participar de manera obligatoria en los comités de seguridad y salud en el trabajo cuando lo </w:t>
            </w:r>
            <w:r>
              <w:rPr>
                <w:rFonts w:cs="Arial"/>
              </w:rPr>
              <w:t>disponga</w:t>
            </w:r>
            <w:r>
              <w:rPr>
                <w:rFonts w:cs="Arial"/>
                <w:szCs w:val="20"/>
              </w:rPr>
              <w:t xml:space="preserve"> su jefatura inmediata previa coordinación con el coordinador de seguridad y salud en el trabajo. 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ind w:left="459" w:right="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Proponer medidas que permitan corregir o disminuir las condiciones de riesgos que podrían causar accidentes de trabajo y/o enfermedades ocupacionales. 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ind w:left="459" w:right="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Cooperar y participar en el proceso de investigación de los accidentes en el trabajo y las enfermedades ocupacionales cuando la autoridad competente lo requiera o cuando a su parecer los datos que conocen ayuden al esclarecimiento de las causas que los originaron. 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ind w:left="459" w:right="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Contribuir con la mejora continua de los procesos, la gestión del cambio, la preparación y respuesta a situaciones de emergencia. 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ind w:left="459" w:right="0" w:hanging="3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Adoptar medidas preventivas y correctivas necesarias para eliminar o controlar los peligros asociados al trabajo.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jc w:val="both"/>
              <w:rPr>
                <w:rFonts w:cs="Arial"/>
                <w:szCs w:val="20"/>
                <w:shd w:fill="FFFF00" w:val="clear"/>
              </w:rPr>
            </w:pPr>
            <w:r>
              <w:rPr>
                <w:rFonts w:cs="Arial"/>
                <w:szCs w:val="20"/>
                <w:shd w:fill="FFFF00" w:val="clear"/>
              </w:rPr>
              <w:t xml:space="preserve">Las funciones que realice deben estar orientadas y/o encuadradas dentro del Principio de Prevención establecidas por la Ley de Seguridad y Salud en el Trabajo; y, por el Reglamento de la norma antes citada. </w:t>
            </w:r>
          </w:p>
          <w:p>
            <w:pPr>
              <w:pStyle w:val="ListParagraph"/>
              <w:numPr>
                <w:ilvl w:val="0"/>
                <w:numId w:val="3"/>
              </w:numPr>
              <w:overflowPunct w:val="true"/>
              <w:spacing w:before="120" w:after="200"/>
              <w:jc w:val="both"/>
              <w:rPr>
                <w:rFonts w:cs="Arial"/>
                <w:szCs w:val="20"/>
                <w:shd w:fill="FFFF00" w:val="clear"/>
              </w:rPr>
            </w:pPr>
            <w:r>
              <w:rPr>
                <w:rFonts w:cs="Arial"/>
                <w:szCs w:val="20"/>
                <w:shd w:fill="FFFF00" w:val="clear"/>
              </w:rPr>
              <w:t>Participar activamente en las capacitaciones en materia de seguridad y salud, realizadas por la empresa, en aras de promover una cultura de prevención de riesgos laborales.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PROHIBICIONES / RESTRICCIONES</w:t>
            </w:r>
          </w:p>
        </w:tc>
      </w:tr>
      <w:tr>
        <w:trPr>
          <w:cantSplit w:val="false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Ejecutar actos que pongan en peligro la seguridad propia, la de sus compañeros de trabajos o terceras personas, así como la de los establecimientos, locales, talleres o lugares donde trabajen.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Faltar al trabajo injustificadamente o sin previa coordinación y autorización de su empleador.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  <w:shd w:fill="FFFF00" w:val="clear"/>
              </w:rPr>
              <w:t>Retirar y/o</w:t>
            </w:r>
            <w:r>
              <w:rPr>
                <w:rFonts w:cs="Arial"/>
              </w:rPr>
              <w:t xml:space="preserve"> tomar de los talleres, fábricas o de sus dependencias, materiales, artículos de programación informática, útiles de trabajo, materias primas o elaboradas, equipos u otras propiedades del empleador, sin la autorización de éste o sus representantes.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overflowPunct w:val="true"/>
              <w:spacing w:before="12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Acudir a la oficina o realizar sus labores en estado de ebriedad o bajo la influencia de drogas o estupefacientes prohibidas por la ley.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overflowPunct w:val="true"/>
              <w:spacing w:before="12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Acudir al lugar de trabajo o realizar sus labores sin informarle al empleador sobre el uso de medicamentos, recetados por un facultativo, con la advertencia de que puedan producir somnolencia o afectar su condición motora. 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Emplear el equipo que se le hubiere encomendado en usos que no sean del servicio de la empresa u objeto distinto de aquel a que están destinados.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Portar armas durante las horas de trabajo. Se exceptúan, las punzantes o punzó cortantes que formen parte de las herramientas o útiles autorizados por el empleador y las que porten los trabajadores encargados de la seguridad, para quienes sus respectivos empleadores hayan obtenido permiso especial de las autoridades competentes.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overflowPunct w:val="true"/>
              <w:spacing w:before="12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>Dormirse durante  el desempeño de sus funciones o labores.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overflowPunct w:val="true"/>
              <w:spacing w:before="12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>Efectuar colectas no autorizadas por el empleador y promover o vender boletos de rifas y loterías dentro del establecimiento, local o lugar de trabajo.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Suspender sus labores sin causas justificadas o sin permiso del empleador, aun cuando permanezca en su puesto.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Alterar, trastocar o dañar en cualquier forma, los datos, artículos de programación de informática, los archivos de soporte, los ordenadores o accesorios de informática.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  <w:shd w:fill="FFFF00" w:val="clear"/>
              </w:rPr>
            </w:pPr>
            <w:r>
              <w:rPr>
                <w:rFonts w:cs="Arial"/>
              </w:rPr>
              <w:t xml:space="preserve">Realizar actos de acoso </w:t>
            </w:r>
            <w:r>
              <w:rPr>
                <w:rFonts w:cs="Arial"/>
                <w:shd w:fill="FFFF00" w:val="clear"/>
              </w:rPr>
              <w:t>y/o hostigamiento sexual.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Acudir al centro de trabajo vestido con ropa sport o casual a excepción de los días sábados.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Instalar software, programas de cómputo, bajar música o cualquier información de internet, que sea de interés personal, y chatear en las computadoras de la empresa, sin autorización de la jefatura inmediata.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Retirar fuera de la Empresa CD'S, memorias USB u otros medios de almacenamiento que contenga información estrictamente confidencial así como las actividades relacionadas al ámbito de sus funciones, las mismas que puedan servir para atentar contra la Empresa.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Utilizar los medios de comunicación telefónicos, internet, correo electrónico y chat para otras actividades que no sean para la ejecución de sus funciones.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Relacionarse o tener un vínculo sentimental  </w:t>
            </w:r>
            <w:r>
              <w:rPr>
                <w:rFonts w:cs="Arial"/>
                <w:shd w:fill="FFFF00" w:val="clear"/>
              </w:rPr>
              <w:t>o comercial</w:t>
            </w:r>
            <w:r>
              <w:rPr>
                <w:rFonts w:cs="Arial"/>
              </w:rPr>
              <w:t xml:space="preserve"> con sus compañeros de trabajo o con los clientes, que afecten las relaciones laborales o comerciales en su centro de trabajo.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Crear conflictos con el personal dentro de las áreas de trabajo y responsabilidad.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Realizar rotaciones y/o descansos sin previa autorización del jefe inmediato.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Retirarse de su puesto de trabajo, sin autorización de la jefatura inmediata.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Manejar, operar, conducir, y/o retirar de las instalaciones de la empresa, equipos, maquinas, vehículos, que no les hayan sido asignados por ser ajenos a la gestión de los mismos, salvo autorización expresa y previa de la jefatura correspondiente.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overflowPunct w:val="true"/>
              <w:spacing w:before="120" w:after="200"/>
              <w:jc w:val="both"/>
              <w:rPr>
                <w:rFonts w:cs="Arial"/>
              </w:rPr>
            </w:pPr>
            <w:r>
              <w:rPr>
                <w:rFonts w:cs="Arial"/>
              </w:rPr>
              <w:t>Recibir, pedir dinero a los clientes  o proveedores fuera del pago por los servicios prestados o contratados.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Hacer declaraciones o publicaciones sobre asuntos relacionados con la empresa a través de los diversos medios de comunicación, salvo quienes así hayan sido expresamente, y por escrito autorizados por la empresa.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  <w:shd w:fill="FFFF00" w:val="clear"/>
              </w:rPr>
            </w:pPr>
            <w:r>
              <w:rPr>
                <w:rFonts w:cs="Arial"/>
                <w:shd w:fill="FFFF00" w:val="clear"/>
              </w:rPr>
              <w:t>Brindar y/o entregar el usuario y contraseña asignado por la empresa para que un compañero o un tercero ingrese a las páginas de Salones Network y/o Personas Network.</w:t>
            </w:r>
          </w:p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Las demás contenidas en el Reglamento Interno de Trabajo.</w:t>
            </w:r>
          </w:p>
        </w:tc>
      </w:tr>
    </w:tbl>
    <w:p>
      <w:pPr>
        <w:pStyle w:val="Normal"/>
        <w:rPr/>
      </w:pPr>
      <w:r>
        <w:rPr/>
      </w:r>
    </w:p>
    <w:tbl>
      <w:tblPr>
        <w:jc w:val="left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268"/>
        <w:gridCol w:w="2575"/>
        <w:gridCol w:w="2244"/>
        <w:gridCol w:w="2410"/>
      </w:tblGrid>
      <w:tr>
        <w:trPr>
          <w:cantSplit w:val="false"/>
        </w:trPr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04040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VALIDACIÓN</w:t>
            </w:r>
          </w:p>
        </w:tc>
      </w:tr>
      <w:tr>
        <w:trPr>
          <w:trHeight w:val="292" w:hRule="atLeast"/>
          <w:cantSplit w:val="false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RESPONSABLE DE: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NOMBRES Y APELLIDOS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CARGO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FIRMA </w:t>
            </w:r>
          </w:p>
        </w:tc>
      </w:tr>
      <w:tr>
        <w:trPr>
          <w:cantSplit w:val="false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Elaboración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Revisión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Aprobación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276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S Sans Serif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center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  <w:right w:val="single" w:sz="4" w:space="0" w:color="00000A"/>
        <w:insideV w:val="single" w:sz="4" w:space="0" w:color="00000A"/>
      </w:tblBorders>
      <w:tblCellMar>
        <w:top w:w="0" w:type="dxa"/>
        <w:left w:w="98" w:type="dxa"/>
        <w:bottom w:w="0" w:type="dxa"/>
        <w:right w:w="108" w:type="dxa"/>
      </w:tblCellMar>
    </w:tblPr>
    <w:tblGrid>
      <w:gridCol w:w="5244"/>
      <w:gridCol w:w="4253"/>
    </w:tblGrid>
    <w:tr>
      <w:trPr>
        <w:cantSplit w:val="false"/>
      </w:trPr>
      <w:tc>
        <w:tcPr>
          <w:tcW w:w="524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lineRule="auto" w:line="360" w:before="240" w:after="0"/>
            <w:rPr>
              <w:sz w:val="16"/>
            </w:rPr>
          </w:pPr>
          <w:r>
            <w:rPr>
              <w:b/>
              <w:sz w:val="16"/>
            </w:rPr>
            <w:t>REVISIÓN:</w:t>
          </w:r>
          <w:r>
            <w:rPr>
              <w:sz w:val="16"/>
            </w:rPr>
            <w:t xml:space="preserve"> 1.0</w:t>
          </w:r>
        </w:p>
      </w:tc>
      <w:tc>
        <w:tcPr>
          <w:tcW w:w="42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lineRule="auto" w:line="360" w:before="240" w:after="0"/>
            <w:rPr>
              <w:sz w:val="16"/>
            </w:rPr>
          </w:pPr>
          <w:r>
            <w:rPr>
              <w:b/>
              <w:sz w:val="16"/>
            </w:rPr>
            <w:t>FECHA REVISIÓN:</w:t>
          </w:r>
          <w:r>
            <w:rPr>
              <w:sz w:val="16"/>
            </w:rPr>
            <w:t xml:space="preserve"> XX/XX/XX</w:t>
          </w:r>
        </w:p>
      </w:tc>
    </w:tr>
  </w:tbl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-47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  <w:right w:val="single" w:sz="4" w:space="0" w:color="00000A"/>
        <w:insideV w:val="single" w:sz="4" w:space="0" w:color="00000A"/>
      </w:tblBorders>
      <w:tblCellMar>
        <w:top w:w="0" w:type="dxa"/>
        <w:left w:w="98" w:type="dxa"/>
        <w:bottom w:w="0" w:type="dxa"/>
        <w:right w:w="108" w:type="dxa"/>
      </w:tblCellMar>
    </w:tblPr>
    <w:tblGrid>
      <w:gridCol w:w="2692"/>
      <w:gridCol w:w="2127"/>
      <w:gridCol w:w="2834"/>
      <w:gridCol w:w="1844"/>
    </w:tblGrid>
    <w:tr>
      <w:trPr>
        <w:cantSplit w:val="false"/>
      </w:trPr>
      <w:tc>
        <w:tcPr>
          <w:tcW w:w="9497" w:type="dxa"/>
          <w:gridSpan w:val="4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before="240" w:after="0"/>
            <w:jc w:val="center"/>
            <w:rPr>
              <w:b/>
            </w:rPr>
          </w:pPr>
          <w:r>
            <w:rPr>
              <w:b/>
            </w:rPr>
            <w:t>MANUAL DE ORGANIZACIÓN Y FUNCIONES (PROVISIONAL)</w:t>
          </w:r>
        </w:p>
      </w:tc>
    </w:tr>
    <w:tr>
      <w:trPr>
        <w:cantSplit w:val="false"/>
      </w:trPr>
      <w:tc>
        <w:tcPr>
          <w:tcW w:w="269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before="240" w:after="0"/>
            <w:jc w:val="center"/>
            <w:rPr/>
          </w:pPr>
          <w:r>
            <w:rPr/>
            <w:t>MAN-SED-OYM-001</w:t>
          </w:r>
        </w:p>
      </w:tc>
      <w:tc>
        <w:tcPr>
          <w:tcW w:w="212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before="240" w:after="0"/>
            <w:jc w:val="center"/>
            <w:rPr/>
          </w:pPr>
          <w:r>
            <w:rPr/>
            <w:t>Versión: 4.0</w:t>
          </w:r>
        </w:p>
      </w:tc>
      <w:tc>
        <w:tcPr>
          <w:tcW w:w="283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before="240" w:after="0"/>
            <w:jc w:val="center"/>
            <w:rPr/>
          </w:pPr>
          <w:r>
            <w:rPr/>
            <w:t>F.  Vigencia: 16/03/2018</w:t>
          </w:r>
        </w:p>
      </w:tc>
      <w:tc>
        <w:tcPr>
          <w:tcW w:w="184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  <w:right w:val="single" w:sz="4" w:space="0" w:color="00000A"/>
            <w:insideV w:val="single" w:sz="4" w:space="0" w:color="00000A"/>
          </w:tcBorders>
          <w:shd w:fill="FFFFFF" w:val="clear"/>
          <w:tcMar>
            <w:left w:w="98" w:type="dxa"/>
          </w:tcMar>
          <w:vAlign w:val="center"/>
        </w:tcPr>
        <w:p>
          <w:pPr>
            <w:pStyle w:val="Encabezamiento"/>
            <w:spacing w:before="240" w:after="0"/>
            <w:jc w:val="center"/>
            <w:rPr/>
          </w:pPr>
          <w:r>
            <w:rPr/>
            <w:t xml:space="preserve">Página </w:t>
          </w: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/>
            <w:t xml:space="preserve"> de </w:t>
          </w:r>
          <w:r>
            <w:rPr/>
            <w:fldChar w:fldCharType="begin"/>
          </w:r>
          <w:r>
            <w:instrText> NUMPAGES </w:instrText>
          </w:r>
          <w:r>
            <w:fldChar w:fldCharType="separate"/>
          </w:r>
          <w:r>
            <w:t>6</w:t>
          </w:r>
          <w:r>
            <w:fldChar w:fldCharType="end"/>
          </w:r>
        </w:p>
      </w:tc>
    </w:tr>
  </w:tbl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2"/>
        <w:b w:val="false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602" w:hanging="360"/>
      </w:pPr>
      <w:rPr>
        <w:w w:val="100"/>
      </w:rPr>
    </w:lvl>
    <w:lvl w:ilvl="1">
      <w:start w:val="1"/>
      <w:numFmt w:val="bullet"/>
      <w:lvlText w:val=""/>
      <w:lvlJc w:val="left"/>
      <w:pPr>
        <w:ind w:left="150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2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24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iPriority="0" w:name="Body Text Inde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0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8228f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Droid Sans Fallback" w:cs="Calibri"/>
      <w:color w:val="00000A"/>
      <w:sz w:val="22"/>
      <w:szCs w:val="22"/>
      <w:lang w:val="es-ES" w:eastAsia="en-US" w:bidi="ar-SA"/>
    </w:rPr>
  </w:style>
  <w:style w:type="paragraph" w:styleId="Encabezado1" w:customStyle="1">
    <w:name w:val="Encabezado 1"/>
    <w:basedOn w:val="Encabezamiento"/>
    <w:pPr/>
    <w:rPr/>
  </w:style>
  <w:style w:type="paragraph" w:styleId="Encabezado2" w:customStyle="1">
    <w:name w:val="Encabezado 2"/>
    <w:basedOn w:val="Encabezamiento"/>
    <w:pPr/>
    <w:rPr/>
  </w:style>
  <w:style w:type="paragraph" w:styleId="Encabezado3" w:customStyle="1">
    <w:name w:val="Encabezado 3"/>
    <w:basedOn w:val="Encabezamiento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uiPriority w:val="99"/>
    <w:qFormat/>
    <w:link w:val="Encabezado"/>
    <w:rsid w:val="005f342e"/>
    <w:basedOn w:val="DefaultParagraphFont"/>
    <w:rPr/>
  </w:style>
  <w:style w:type="character" w:styleId="PiedepginaCar" w:customStyle="1">
    <w:name w:val="Pie de página Car"/>
    <w:uiPriority w:val="99"/>
    <w:qFormat/>
    <w:link w:val="Piedepgina"/>
    <w:rsid w:val="005f342e"/>
    <w:basedOn w:val="DefaultParagraphFont"/>
    <w:rPr/>
  </w:style>
  <w:style w:type="character" w:styleId="TextodegloboCar" w:customStyle="1">
    <w:name w:val="Texto de globo Car"/>
    <w:uiPriority w:val="99"/>
    <w:qFormat/>
    <w:semiHidden/>
    <w:link w:val="Textodeglobo"/>
    <w:rsid w:val="006d0762"/>
    <w:basedOn w:val="DefaultParagraphFont"/>
    <w:rPr>
      <w:rFonts w:ascii="Tahoma" w:hAnsi="Tahoma" w:cs="Tahoma"/>
      <w:sz w:val="16"/>
      <w:szCs w:val="16"/>
    </w:rPr>
  </w:style>
  <w:style w:type="character" w:styleId="SangradetextonormalCar" w:customStyle="1">
    <w:name w:val="Sangría de texto normal Car"/>
    <w:qFormat/>
    <w:semiHidden/>
    <w:link w:val="Cuerpodetextoconsangra"/>
    <w:rsid w:val="00903872"/>
    <w:basedOn w:val="DefaultParagraphFont"/>
    <w:rPr>
      <w:rFonts w:ascii="Tahoma" w:hAnsi="Tahoma" w:eastAsia="Times New Roman" w:cs="Times New Roman"/>
      <w:sz w:val="24"/>
      <w:szCs w:val="24"/>
      <w:lang w:val="en-US"/>
    </w:rPr>
  </w:style>
  <w:style w:type="character" w:styleId="TextoindependienteCar" w:customStyle="1">
    <w:name w:val="Texto independiente Car"/>
    <w:uiPriority w:val="99"/>
    <w:qFormat/>
    <w:link w:val="Cuerpodetexto"/>
    <w:rsid w:val="0033685f"/>
    <w:basedOn w:val="DefaultParagraphFont"/>
    <w:rPr/>
  </w:style>
  <w:style w:type="character" w:styleId="Applestylespan" w:customStyle="1">
    <w:name w:val="apple-style-span"/>
    <w:qFormat/>
    <w:rsid w:val="00e019d6"/>
    <w:basedOn w:val="DefaultParagraphFont"/>
    <w:rPr/>
  </w:style>
  <w:style w:type="character" w:styleId="Appleconvertedspace" w:customStyle="1">
    <w:name w:val="apple-converted-space"/>
    <w:qFormat/>
    <w:rsid w:val="00e019d6"/>
    <w:basedOn w:val="DefaultParagraphFont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b w:val="false"/>
      <w:sz w:val="22"/>
      <w:szCs w:val="22"/>
    </w:rPr>
  </w:style>
  <w:style w:type="character" w:styleId="ListLabel3" w:customStyle="1">
    <w:name w:val="ListLabel 3"/>
    <w:qFormat/>
    <w:rPr>
      <w:rFonts w:ascii="Calibri" w:hAnsi="Calibri"/>
      <w:b w:val="false"/>
    </w:rPr>
  </w:style>
  <w:style w:type="character" w:styleId="ListLabel4" w:customStyle="1">
    <w:name w:val="ListLabel 4"/>
    <w:qFormat/>
    <w:rPr>
      <w:rFonts w:cs="Arial"/>
      <w:b w:val="false"/>
      <w:color w:val="00000A"/>
      <w:sz w:val="22"/>
      <w:szCs w:val="22"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rFonts w:cs="Arial"/>
      <w:b w:val="false"/>
      <w:color w:val="00000A"/>
      <w:sz w:val="20"/>
      <w:szCs w:val="20"/>
    </w:rPr>
  </w:style>
  <w:style w:type="character" w:styleId="ListLabel7" w:customStyle="1">
    <w:name w:val="ListLabel 7"/>
    <w:qFormat/>
    <w:rPr>
      <w:sz w:val="22"/>
      <w:szCs w:val="22"/>
    </w:rPr>
  </w:style>
  <w:style w:type="character" w:styleId="ListLabel8" w:customStyle="1">
    <w:name w:val="ListLabel 8"/>
    <w:qFormat/>
    <w:rPr>
      <w:color w:val="FF0000"/>
    </w:rPr>
  </w:style>
  <w:style w:type="character" w:styleId="ListLabel9" w:customStyle="1">
    <w:name w:val="ListLabel 9"/>
    <w:qFormat/>
    <w:rPr>
      <w:rFonts w:cs="Arial"/>
      <w:b/>
      <w:color w:val="00000A"/>
      <w:sz w:val="20"/>
      <w:szCs w:val="20"/>
    </w:rPr>
  </w:style>
  <w:style w:type="character" w:styleId="ListLabel10" w:customStyle="1">
    <w:name w:val="ListLabel 10"/>
    <w:qFormat/>
    <w:rPr>
      <w:rFonts w:eastAsia="Arial" w:cs="Arial"/>
      <w:spacing w:val="0"/>
      <w:w w:val="99"/>
      <w:sz w:val="20"/>
      <w:szCs w:val="20"/>
    </w:rPr>
  </w:style>
  <w:style w:type="character" w:styleId="ListLabel11" w:customStyle="1">
    <w:name w:val="ListLabel 11"/>
    <w:qFormat/>
    <w:rPr>
      <w:rFonts w:eastAsia="Symbol" w:cs="Symbol"/>
      <w:w w:val="99"/>
      <w:sz w:val="20"/>
      <w:szCs w:val="20"/>
    </w:rPr>
  </w:style>
  <w:style w:type="character" w:styleId="ListLabel12" w:customStyle="1">
    <w:name w:val="ListLabel 12"/>
    <w:qFormat/>
    <w:rPr>
      <w:rFonts w:ascii="Calibri" w:hAnsi="Calibri"/>
      <w:w w:val="100"/>
    </w:rPr>
  </w:style>
  <w:style w:type="character" w:styleId="ListLabel13" w:customStyle="1">
    <w:name w:val="ListLabel 13"/>
    <w:qFormat/>
    <w:rPr>
      <w:rFonts w:ascii="Calibri" w:hAnsi="Calibri"/>
      <w:b w:val="false"/>
    </w:rPr>
  </w:style>
  <w:style w:type="character" w:styleId="ListLabel14" w:customStyle="1">
    <w:name w:val="ListLabel 14"/>
    <w:qFormat/>
    <w:rPr>
      <w:rFonts w:cs="Arial"/>
      <w:b w:val="false"/>
      <w:color w:val="00000A"/>
      <w:sz w:val="22"/>
      <w:szCs w:val="22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ascii="Calibri" w:hAnsi="Calibri"/>
      <w:w w:val="100"/>
    </w:rPr>
  </w:style>
  <w:style w:type="character" w:styleId="ListLabel17" w:customStyle="1">
    <w:name w:val="ListLabel 17"/>
    <w:qFormat/>
    <w:rPr>
      <w:rFonts w:cs="Symbol"/>
    </w:rPr>
  </w:style>
  <w:style w:type="character" w:styleId="ListLabel18">
    <w:name w:val="ListLabel 18"/>
    <w:rPr>
      <w:b w:val="false"/>
    </w:rPr>
  </w:style>
  <w:style w:type="character" w:styleId="ListLabel19">
    <w:name w:val="ListLabel 19"/>
    <w:rPr>
      <w:rFonts w:cs="Arial"/>
      <w:b w:val="false"/>
      <w:color w:val="00000A"/>
      <w:sz w:val="22"/>
      <w:szCs w:val="22"/>
    </w:rPr>
  </w:style>
  <w:style w:type="character" w:styleId="ListLabel20">
    <w:name w:val="ListLabel 20"/>
    <w:rPr>
      <w:b/>
    </w:rPr>
  </w:style>
  <w:style w:type="character" w:styleId="ListLabel21">
    <w:name w:val="ListLabel 21"/>
    <w:rPr>
      <w:w w:val="100"/>
    </w:rPr>
  </w:style>
  <w:style w:type="character" w:styleId="ListLabel22">
    <w:name w:val="ListLabel 22"/>
    <w:rPr>
      <w:rFonts w:cs="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 w:customStyle="1">
    <w:name w:val="Cuerpo de texto"/>
    <w:uiPriority w:val="99"/>
    <w:unhideWhenUsed/>
    <w:link w:val="TextoindependienteCar"/>
    <w:rsid w:val="0033685f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qFormat/>
    <w:basedOn w:val="Normal"/>
    <w:pPr>
      <w:suppressLineNumbers/>
    </w:pPr>
    <w:rPr>
      <w:rFonts w:cs="Lohit Hindi"/>
    </w:rPr>
  </w:style>
  <w:style w:type="paragraph" w:styleId="Encabezamiento" w:customStyle="1">
    <w:name w:val="Encabezamiento"/>
    <w:uiPriority w:val="99"/>
    <w:unhideWhenUsed/>
    <w:rsid w:val="005f342e"/>
    <w:basedOn w:val="Normal"/>
    <w:pPr>
      <w:keepNext/>
      <w:tabs>
        <w:tab w:val="center" w:pos="4252" w:leader="none"/>
        <w:tab w:val="right" w:pos="8504" w:leader="none"/>
      </w:tabs>
      <w:spacing w:lineRule="auto" w:line="240" w:before="240" w:after="0"/>
    </w:pPr>
    <w:rPr>
      <w:rFonts w:ascii="Liberation Sans" w:hAnsi="Liberation Sans" w:eastAsia="Droid Sans" w:cs="Lohit Hindi"/>
      <w:sz w:val="28"/>
      <w:szCs w:val="28"/>
    </w:rPr>
  </w:style>
  <w:style w:type="paragraph" w:styleId="Leyenda" w:customStyle="1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Piedepgina">
    <w:name w:val="Pie de página"/>
    <w:uiPriority w:val="99"/>
    <w:unhideWhenUsed/>
    <w:link w:val="PiedepginaCar"/>
    <w:rsid w:val="005f342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qFormat/>
    <w:rsid w:val="00023140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qFormat/>
    <w:semiHidden/>
    <w:unhideWhenUsed/>
    <w:link w:val="TextodegloboCar"/>
    <w:rsid w:val="006d076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uerpodetextoconsangra" w:customStyle="1">
    <w:name w:val="Cuerpo de texto con sangría"/>
    <w:link w:val="SangradetextonormalCar"/>
    <w:rsid w:val="00903872"/>
    <w:basedOn w:val="Normal"/>
    <w:pPr>
      <w:spacing w:lineRule="auto" w:line="240" w:before="0" w:after="0"/>
      <w:ind w:left="720" w:right="0" w:firstLine="1"/>
      <w:jc w:val="both"/>
    </w:pPr>
    <w:rPr>
      <w:rFonts w:ascii="Tahoma" w:hAnsi="Tahoma" w:eastAsia="Times New Roman" w:cs="Times New Roman"/>
      <w:sz w:val="24"/>
      <w:szCs w:val="24"/>
      <w:lang w:val="en-US"/>
    </w:rPr>
  </w:style>
  <w:style w:type="paragraph" w:styleId="WWSangra3detindependiente" w:customStyle="1">
    <w:name w:val="WW-Sangría 3 de t. independiente"/>
    <w:qFormat/>
    <w:rsid w:val="0033685f"/>
    <w:basedOn w:val="Normal"/>
    <w:pPr>
      <w:tabs>
        <w:tab w:val="left" w:pos="5767" w:leader="none"/>
      </w:tabs>
      <w:spacing w:lineRule="auto" w:line="240" w:before="0" w:after="0"/>
      <w:ind w:left="540" w:right="0" w:firstLine="1"/>
      <w:jc w:val="both"/>
    </w:pPr>
    <w:rPr>
      <w:rFonts w:ascii="Tahoma" w:hAnsi="Tahoma" w:eastAsia="Times New Roman" w:cs="Times New Roman"/>
      <w:sz w:val="24"/>
      <w:szCs w:val="24"/>
      <w:lang w:val="en-US" w:eastAsia="es-PE"/>
    </w:rPr>
  </w:style>
  <w:style w:type="paragraph" w:styleId="WWTextoindependiente2" w:customStyle="1">
    <w:name w:val="WW-Texto independiente 2"/>
    <w:qFormat/>
    <w:rsid w:val="00575af0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rmalWeb">
    <w:name w:val="Normal (Web)"/>
    <w:qFormat/>
    <w:rsid w:val="003c4675"/>
    <w:basedOn w:val="Normal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Font13" w:customStyle="1">
    <w:name w:val="font13"/>
    <w:qFormat/>
    <w:rsid w:val="00e019d6"/>
    <w:basedOn w:val="Normal"/>
    <w:pPr>
      <w:widowControl w:val="false"/>
      <w:spacing w:lineRule="auto" w:line="240" w:before="280" w:after="280"/>
    </w:pPr>
    <w:rPr>
      <w:rFonts w:ascii="MS Sans Serif" w:hAnsi="MS Sans Serif" w:eastAsia="DejaVu Sans" w:cs="Lohit Hindi"/>
      <w:b/>
      <w:bCs/>
      <w:sz w:val="24"/>
      <w:szCs w:val="24"/>
      <w:lang w:val="es-PE" w:eastAsia="hi-IN" w:bidi="hi-IN"/>
    </w:rPr>
  </w:style>
  <w:style w:type="paragraph" w:styleId="WWSangra2detindependiente" w:customStyle="1">
    <w:name w:val="WW-Sangría 2 de t. independiente"/>
    <w:qFormat/>
    <w:rsid w:val="00b63664"/>
    <w:basedOn w:val="Normal"/>
    <w:pPr>
      <w:tabs>
        <w:tab w:val="left" w:pos="2160" w:leader="none"/>
      </w:tabs>
      <w:spacing w:lineRule="auto" w:line="240" w:before="0" w:after="0"/>
      <w:ind w:left="1080" w:right="0" w:hanging="540"/>
      <w:jc w:val="both"/>
    </w:pPr>
    <w:rPr>
      <w:rFonts w:ascii="Tahoma" w:hAnsi="Tahoma" w:eastAsia="Times New Roman" w:cs="Times New Roman"/>
      <w:sz w:val="24"/>
      <w:szCs w:val="20"/>
      <w:lang w:val="en-US"/>
    </w:rPr>
  </w:style>
  <w:style w:type="paragraph" w:styleId="TableParagraph" w:customStyle="1">
    <w:name w:val="Table Paragraph"/>
    <w:uiPriority w:val="1"/>
    <w:qFormat/>
    <w:rsid w:val="00a53388"/>
    <w:basedOn w:val="Normal"/>
    <w:pPr>
      <w:widowControl w:val="false"/>
      <w:spacing w:lineRule="auto" w:line="240" w:before="0" w:after="0"/>
      <w:ind w:left="814" w:right="0" w:hanging="0"/>
    </w:pPr>
    <w:rPr>
      <w:rFonts w:ascii="Arial" w:hAnsi="Arial" w:eastAsia="Arial" w:cs="Arial"/>
      <w:lang w:val="en-US"/>
    </w:rPr>
  </w:style>
  <w:style w:type="paragraph" w:styleId="Quote">
    <w:name w:val="Quote"/>
    <w:qFormat/>
    <w:basedOn w:val="Normal"/>
    <w:pPr/>
    <w:rPr/>
  </w:style>
  <w:style w:type="paragraph" w:styleId="Ttulo">
    <w:name w:val="Título"/>
    <w:basedOn w:val="Encabezamiento"/>
    <w:pPr/>
    <w:rPr/>
  </w:style>
  <w:style w:type="paragraph" w:styleId="Subttulo">
    <w:name w:val="Subtítulo"/>
    <w:basedOn w:val="Encabezamient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f342e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8677-F273-482A-8555-B5CBB7BF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2018-04-04T15:07:00Z</dcterms:created>
  <dc:creator>USUARIO</dc:creator>
  <dc:language>es-PE</dc:language>
  <cp:lastModifiedBy>Billy Ponce Saldaña</cp:lastModifiedBy>
  <cp:lastPrinted>2016-06-01T22:28:00Z</cp:lastPrinted>
  <dcterms:modified xsi:type="dcterms:W3CDTF">2018-04-04T15:08:00Z</dcterms:modified>
  <cp:revision>3</cp:revision>
</cp:coreProperties>
</file>